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644"/>
        <w:gridCol w:w="4820"/>
      </w:tblGrid>
      <w:tr w:rsidR="00D8625E" w:rsidRPr="00AB3731" w:rsidTr="00D105C4">
        <w:tc>
          <w:tcPr>
            <w:tcW w:w="4644" w:type="dxa"/>
          </w:tcPr>
          <w:p w:rsidR="00D8625E" w:rsidRPr="00B410E4" w:rsidRDefault="00D8625E" w:rsidP="003A5539">
            <w:pPr>
              <w:pStyle w:val="1"/>
              <w:ind w:firstLine="0"/>
              <w:jc w:val="center"/>
              <w:rPr>
                <w:rFonts w:ascii="TimesET" w:hAnsi="TimesET"/>
                <w:b/>
                <w:bCs/>
                <w:szCs w:val="24"/>
                <w:lang w:val="en-US"/>
              </w:rPr>
            </w:pPr>
            <w:bookmarkStart w:id="0" w:name="sub_9"/>
          </w:p>
        </w:tc>
        <w:tc>
          <w:tcPr>
            <w:tcW w:w="4820" w:type="dxa"/>
          </w:tcPr>
          <w:p w:rsidR="00107FFE" w:rsidRDefault="00D8625E" w:rsidP="006C693B">
            <w:pPr>
              <w:pStyle w:val="1"/>
              <w:ind w:left="-391" w:firstLine="391"/>
              <w:jc w:val="center"/>
              <w:rPr>
                <w:i/>
                <w:szCs w:val="24"/>
              </w:rPr>
            </w:pPr>
            <w:r w:rsidRPr="002208C5">
              <w:rPr>
                <w:i/>
                <w:szCs w:val="24"/>
              </w:rPr>
              <w:t>Приложение</w:t>
            </w:r>
            <w:r w:rsidR="00015699">
              <w:rPr>
                <w:i/>
                <w:szCs w:val="24"/>
              </w:rPr>
              <w:t xml:space="preserve"> </w:t>
            </w:r>
            <w:r w:rsidR="00432ECD">
              <w:rPr>
                <w:i/>
                <w:szCs w:val="24"/>
              </w:rPr>
              <w:t>63</w:t>
            </w:r>
            <w:bookmarkStart w:id="1" w:name="_GoBack"/>
            <w:bookmarkEnd w:id="1"/>
          </w:p>
          <w:p w:rsidR="00D105C4" w:rsidRDefault="00D8625E" w:rsidP="006C693B">
            <w:pPr>
              <w:pStyle w:val="1"/>
              <w:ind w:left="-391" w:firstLine="391"/>
              <w:jc w:val="center"/>
              <w:rPr>
                <w:i/>
                <w:szCs w:val="24"/>
              </w:rPr>
            </w:pPr>
            <w:r w:rsidRPr="002208C5">
              <w:rPr>
                <w:i/>
                <w:szCs w:val="24"/>
              </w:rPr>
              <w:t xml:space="preserve">к Методикам (проектам методик) и </w:t>
            </w:r>
            <w:r w:rsidR="006C693B">
              <w:rPr>
                <w:i/>
                <w:szCs w:val="24"/>
              </w:rPr>
              <w:t xml:space="preserve">      </w:t>
            </w:r>
            <w:r w:rsidRPr="002208C5">
              <w:rPr>
                <w:i/>
                <w:szCs w:val="24"/>
              </w:rPr>
              <w:t xml:space="preserve">расчетам распределения межбюджетных трансфертов между </w:t>
            </w:r>
            <w:r w:rsidR="00D105C4" w:rsidRPr="00D105C4">
              <w:rPr>
                <w:i/>
                <w:szCs w:val="24"/>
              </w:rPr>
              <w:t xml:space="preserve">муниципальными </w:t>
            </w:r>
            <w:r w:rsidR="00D105C4">
              <w:rPr>
                <w:i/>
                <w:szCs w:val="24"/>
              </w:rPr>
              <w:t xml:space="preserve">     </w:t>
            </w:r>
            <w:r w:rsidR="00D105C4" w:rsidRPr="00D105C4">
              <w:rPr>
                <w:i/>
                <w:szCs w:val="24"/>
              </w:rPr>
              <w:t>округами и городскими округами</w:t>
            </w:r>
            <w:r w:rsidRPr="002208C5">
              <w:rPr>
                <w:i/>
                <w:szCs w:val="24"/>
              </w:rPr>
              <w:t xml:space="preserve"> на 20</w:t>
            </w:r>
            <w:r w:rsidRPr="00D8625E">
              <w:rPr>
                <w:i/>
                <w:szCs w:val="24"/>
              </w:rPr>
              <w:t>2</w:t>
            </w:r>
            <w:r w:rsidR="008159C7">
              <w:rPr>
                <w:i/>
                <w:szCs w:val="24"/>
              </w:rPr>
              <w:t>5</w:t>
            </w:r>
            <w:r w:rsidR="00832B17" w:rsidRPr="00832B17">
              <w:rPr>
                <w:i/>
                <w:szCs w:val="24"/>
              </w:rPr>
              <w:t xml:space="preserve"> </w:t>
            </w:r>
            <w:r w:rsidRPr="002208C5">
              <w:rPr>
                <w:i/>
                <w:szCs w:val="24"/>
              </w:rPr>
              <w:t xml:space="preserve">год </w:t>
            </w:r>
          </w:p>
          <w:p w:rsidR="00D8625E" w:rsidRPr="00AB3731" w:rsidRDefault="00D8625E" w:rsidP="008159C7">
            <w:pPr>
              <w:pStyle w:val="1"/>
              <w:ind w:left="-391" w:firstLine="391"/>
              <w:jc w:val="center"/>
              <w:rPr>
                <w:rFonts w:ascii="TimesET" w:hAnsi="TimesET"/>
                <w:szCs w:val="24"/>
              </w:rPr>
            </w:pPr>
            <w:r w:rsidRPr="002208C5">
              <w:rPr>
                <w:i/>
                <w:szCs w:val="24"/>
              </w:rPr>
              <w:t>и плановый период 20</w:t>
            </w:r>
            <w:r w:rsidRPr="00D8625E">
              <w:rPr>
                <w:i/>
                <w:szCs w:val="24"/>
              </w:rPr>
              <w:t>2</w:t>
            </w:r>
            <w:r w:rsidR="008159C7">
              <w:rPr>
                <w:i/>
                <w:szCs w:val="24"/>
              </w:rPr>
              <w:t>6</w:t>
            </w:r>
            <w:r w:rsidRPr="002208C5">
              <w:rPr>
                <w:i/>
                <w:szCs w:val="24"/>
              </w:rPr>
              <w:t xml:space="preserve"> и 202</w:t>
            </w:r>
            <w:r w:rsidR="008159C7">
              <w:rPr>
                <w:i/>
                <w:szCs w:val="24"/>
              </w:rPr>
              <w:t>7</w:t>
            </w:r>
            <w:r w:rsidRPr="002208C5">
              <w:rPr>
                <w:i/>
                <w:szCs w:val="24"/>
              </w:rPr>
              <w:t xml:space="preserve"> годов</w:t>
            </w:r>
          </w:p>
        </w:tc>
      </w:tr>
    </w:tbl>
    <w:p w:rsidR="00D8625E" w:rsidRPr="00AB3731" w:rsidRDefault="00D8625E" w:rsidP="00D8625E">
      <w:pPr>
        <w:rPr>
          <w:rFonts w:ascii="TimesET" w:hAnsi="TimesET"/>
          <w:sz w:val="24"/>
          <w:szCs w:val="24"/>
        </w:rPr>
      </w:pPr>
    </w:p>
    <w:p w:rsidR="00D8625E" w:rsidRDefault="00D8625E" w:rsidP="00D8625E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528C2">
        <w:rPr>
          <w:rFonts w:ascii="Times New Roman" w:hAnsi="Times New Roman" w:cs="Times New Roman"/>
          <w:b/>
          <w:bCs/>
          <w:sz w:val="26"/>
          <w:szCs w:val="26"/>
        </w:rPr>
        <w:t>МЕТОДИКА</w:t>
      </w:r>
    </w:p>
    <w:p w:rsidR="001A7089" w:rsidRPr="001A7089" w:rsidRDefault="001A7089" w:rsidP="001A7089"/>
    <w:p w:rsidR="005D2ECF" w:rsidRDefault="00991A00" w:rsidP="008528C2">
      <w:pPr>
        <w:pStyle w:val="a3"/>
        <w:ind w:left="0" w:firstLine="11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расчета</w:t>
      </w:r>
      <w:r w:rsidR="00D8625E" w:rsidRPr="00FD1366">
        <w:rPr>
          <w:rFonts w:ascii="Times New Roman" w:hAnsi="Times New Roman" w:cs="Times New Roman"/>
          <w:sz w:val="26"/>
          <w:szCs w:val="26"/>
        </w:rPr>
        <w:t xml:space="preserve"> субвенций, </w:t>
      </w:r>
      <w:r>
        <w:rPr>
          <w:rFonts w:ascii="Times New Roman" w:hAnsi="Times New Roman" w:cs="Times New Roman"/>
          <w:sz w:val="26"/>
          <w:szCs w:val="26"/>
        </w:rPr>
        <w:t xml:space="preserve">предоставляемых бюджетам </w:t>
      </w:r>
      <w:r w:rsidR="00844D31">
        <w:rPr>
          <w:rFonts w:ascii="Times New Roman" w:hAnsi="Times New Roman" w:cs="Times New Roman"/>
          <w:sz w:val="26"/>
          <w:szCs w:val="26"/>
        </w:rPr>
        <w:t xml:space="preserve">муниципальных округов и </w:t>
      </w:r>
      <w:r w:rsidR="00FE6772">
        <w:rPr>
          <w:rFonts w:ascii="Times New Roman" w:hAnsi="Times New Roman" w:cs="Times New Roman"/>
          <w:sz w:val="26"/>
          <w:szCs w:val="26"/>
        </w:rPr>
        <w:t>городских округов для осуществления полномочий Российской Федерации по первичному воинскому</w:t>
      </w:r>
      <w:r w:rsidR="002008D4">
        <w:rPr>
          <w:rFonts w:ascii="Times New Roman" w:hAnsi="Times New Roman" w:cs="Times New Roman"/>
          <w:sz w:val="26"/>
          <w:szCs w:val="26"/>
        </w:rPr>
        <w:t xml:space="preserve"> учету</w:t>
      </w:r>
      <w:r w:rsidR="00FE6772">
        <w:rPr>
          <w:rFonts w:ascii="Times New Roman" w:hAnsi="Times New Roman" w:cs="Times New Roman"/>
          <w:sz w:val="26"/>
          <w:szCs w:val="26"/>
        </w:rPr>
        <w:t xml:space="preserve"> органами местного самоуправления муниципальных округов и городских округов</w:t>
      </w:r>
      <w:r w:rsidR="008528C2">
        <w:rPr>
          <w:rFonts w:ascii="Times New Roman" w:hAnsi="Times New Roman" w:cs="Times New Roman"/>
          <w:sz w:val="26"/>
          <w:szCs w:val="26"/>
        </w:rPr>
        <w:t xml:space="preserve"> (в соответствии с </w:t>
      </w:r>
      <w:r w:rsidR="008528C2" w:rsidRPr="008528C2">
        <w:rPr>
          <w:rFonts w:ascii="Times New Roman" w:hAnsi="Times New Roman" w:cs="Times New Roman"/>
          <w:sz w:val="26"/>
          <w:szCs w:val="26"/>
        </w:rPr>
        <w:t>Закон</w:t>
      </w:r>
      <w:r w:rsidR="008528C2">
        <w:rPr>
          <w:rFonts w:ascii="Times New Roman" w:hAnsi="Times New Roman" w:cs="Times New Roman"/>
          <w:sz w:val="26"/>
          <w:szCs w:val="26"/>
        </w:rPr>
        <w:t>ом</w:t>
      </w:r>
      <w:r w:rsidR="008528C2" w:rsidRPr="008528C2">
        <w:rPr>
          <w:rFonts w:ascii="Times New Roman" w:hAnsi="Times New Roman" w:cs="Times New Roman"/>
          <w:sz w:val="26"/>
          <w:szCs w:val="26"/>
        </w:rPr>
        <w:t xml:space="preserve"> Ч</w:t>
      </w:r>
      <w:r w:rsidR="008528C2">
        <w:rPr>
          <w:rFonts w:ascii="Times New Roman" w:hAnsi="Times New Roman" w:cs="Times New Roman"/>
          <w:sz w:val="26"/>
          <w:szCs w:val="26"/>
        </w:rPr>
        <w:t xml:space="preserve">увашской </w:t>
      </w:r>
      <w:r w:rsidR="008528C2" w:rsidRPr="008528C2">
        <w:rPr>
          <w:rFonts w:ascii="Times New Roman" w:hAnsi="Times New Roman" w:cs="Times New Roman"/>
          <w:sz w:val="26"/>
          <w:szCs w:val="26"/>
        </w:rPr>
        <w:t>Р</w:t>
      </w:r>
      <w:r w:rsidR="008528C2">
        <w:rPr>
          <w:rFonts w:ascii="Times New Roman" w:hAnsi="Times New Roman" w:cs="Times New Roman"/>
          <w:sz w:val="26"/>
          <w:szCs w:val="26"/>
        </w:rPr>
        <w:t xml:space="preserve">еспублики от 21 декабря </w:t>
      </w:r>
      <w:r w:rsidR="008528C2" w:rsidRPr="008528C2">
        <w:rPr>
          <w:rFonts w:ascii="Times New Roman" w:hAnsi="Times New Roman" w:cs="Times New Roman"/>
          <w:sz w:val="26"/>
          <w:szCs w:val="26"/>
        </w:rPr>
        <w:t>2022</w:t>
      </w:r>
      <w:r w:rsidR="008528C2">
        <w:rPr>
          <w:rFonts w:ascii="Times New Roman" w:hAnsi="Times New Roman" w:cs="Times New Roman"/>
          <w:sz w:val="26"/>
          <w:szCs w:val="26"/>
        </w:rPr>
        <w:t xml:space="preserve"> г.</w:t>
      </w:r>
      <w:r w:rsidR="008528C2" w:rsidRPr="008528C2">
        <w:rPr>
          <w:rFonts w:ascii="Times New Roman" w:hAnsi="Times New Roman" w:cs="Times New Roman"/>
          <w:sz w:val="26"/>
          <w:szCs w:val="26"/>
        </w:rPr>
        <w:t xml:space="preserve"> </w:t>
      </w:r>
      <w:r w:rsidR="008528C2">
        <w:rPr>
          <w:rFonts w:ascii="Times New Roman" w:hAnsi="Times New Roman" w:cs="Times New Roman"/>
          <w:sz w:val="26"/>
          <w:szCs w:val="26"/>
        </w:rPr>
        <w:t>№</w:t>
      </w:r>
      <w:r w:rsidR="008528C2" w:rsidRPr="008528C2">
        <w:rPr>
          <w:rFonts w:ascii="Times New Roman" w:hAnsi="Times New Roman" w:cs="Times New Roman"/>
          <w:sz w:val="26"/>
          <w:szCs w:val="26"/>
        </w:rPr>
        <w:t xml:space="preserve"> 122</w:t>
      </w:r>
      <w:r w:rsidR="008528C2">
        <w:rPr>
          <w:rFonts w:ascii="Times New Roman" w:hAnsi="Times New Roman" w:cs="Times New Roman"/>
          <w:sz w:val="26"/>
          <w:szCs w:val="26"/>
        </w:rPr>
        <w:t xml:space="preserve"> «</w:t>
      </w:r>
      <w:r w:rsidR="008528C2" w:rsidRPr="008528C2">
        <w:rPr>
          <w:rFonts w:ascii="Times New Roman" w:hAnsi="Times New Roman" w:cs="Times New Roman"/>
          <w:sz w:val="26"/>
          <w:szCs w:val="26"/>
        </w:rPr>
        <w:t>О Методике распределения субвенций между бюджетами муниципальных округов и городских округов для осуществления полномочий Российской Федерации по первичному воинскому учету органами местного</w:t>
      </w:r>
      <w:proofErr w:type="gramEnd"/>
      <w:r w:rsidR="008528C2" w:rsidRPr="008528C2">
        <w:rPr>
          <w:rFonts w:ascii="Times New Roman" w:hAnsi="Times New Roman" w:cs="Times New Roman"/>
          <w:sz w:val="26"/>
          <w:szCs w:val="26"/>
        </w:rPr>
        <w:t xml:space="preserve"> самоуправления муниципальных округов и городских округов</w:t>
      </w:r>
      <w:r w:rsidR="008528C2">
        <w:rPr>
          <w:rFonts w:ascii="Times New Roman" w:hAnsi="Times New Roman" w:cs="Times New Roman"/>
          <w:sz w:val="26"/>
          <w:szCs w:val="26"/>
        </w:rPr>
        <w:t>»)</w:t>
      </w:r>
    </w:p>
    <w:p w:rsidR="00CA56B5" w:rsidRPr="00AB3731" w:rsidRDefault="00CA56B5" w:rsidP="008528C2">
      <w:pPr>
        <w:ind w:left="1612" w:hanging="892"/>
        <w:jc w:val="center"/>
        <w:rPr>
          <w:rFonts w:ascii="TimesET" w:hAnsi="TimesET"/>
          <w:sz w:val="24"/>
          <w:szCs w:val="24"/>
        </w:rPr>
      </w:pPr>
      <w:bookmarkStart w:id="2" w:name="sub_91"/>
    </w:p>
    <w:p w:rsidR="00FE6772" w:rsidRPr="00FE6772" w:rsidRDefault="00D8625E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507E93">
        <w:rPr>
          <w:sz w:val="26"/>
          <w:szCs w:val="26"/>
        </w:rPr>
        <w:t xml:space="preserve">1. </w:t>
      </w:r>
      <w:bookmarkStart w:id="3" w:name="sub_92"/>
      <w:bookmarkEnd w:id="2"/>
      <w:proofErr w:type="gramStart"/>
      <w:r w:rsidR="00FE6772" w:rsidRPr="00FE6772">
        <w:rPr>
          <w:sz w:val="26"/>
          <w:szCs w:val="26"/>
        </w:rPr>
        <w:t>Финансовое обеспечение расходных обязательств муниципальных округов и городских округов, возникающих при исполнении полномочий Российской Федерации по первичному воинскому учету, переданных органам местного самоуправления муниципальных округов и городских округов, на территориях которых отсутствуют структурные подразделения военных комиссариатов по муниципальным образованиям, осуществляется за счет субвенции на указанные цели из федерального бюджета (далее - субвенция).</w:t>
      </w:r>
      <w:proofErr w:type="gramEnd"/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2. Объем субвенций утверждается законом Чувашской Республики о республиканском бюджете Чувашской Республики на очередной финансовый год и плановый период.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3. Показателями (критериями) распределения общего объема субвенций между муниципальными округами и городскими округами являются: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количество освобожденных военно-учетных работников в органе местного самоуправления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количество работников, осуществляющих работу по первичному воинскому учету в органе местного самоуправления муниципального округа и городского округа по совместительству;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количество часов рабочего времени в год, рассчитанное в среднем на одного работника, осуществляющего работу по первичному воинскому учету по совместительству в органе местного самоуправления муниципального округа и городского округа.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4. Размер субвенции, распределяемой бюджету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округа, определяется в следующем порядке: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1) определяется норматив затрат на содержание одного военно-учетного работника органа местного самоуправления муниципального округа и городского округа (</w:t>
      </w: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>)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 xml:space="preserve"> = </w:t>
      </w: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зп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Sаренда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Sсвязь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Sтрансп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расх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усл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Sмат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обесп</w:t>
      </w:r>
      <w:proofErr w:type="spellEnd"/>
      <w:r w:rsidRPr="00FE6772">
        <w:rPr>
          <w:sz w:val="26"/>
          <w:szCs w:val="26"/>
        </w:rPr>
        <w:t>, где: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зп</w:t>
      </w:r>
      <w:proofErr w:type="spellEnd"/>
      <w:r w:rsidRPr="00FE6772">
        <w:rPr>
          <w:sz w:val="26"/>
          <w:szCs w:val="26"/>
        </w:rP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lastRenderedPageBreak/>
        <w:t>S</w:t>
      </w:r>
      <w:proofErr w:type="gramEnd"/>
      <w:r w:rsidRPr="00FE6772">
        <w:rPr>
          <w:sz w:val="26"/>
          <w:szCs w:val="26"/>
        </w:rPr>
        <w:t>аренда</w:t>
      </w:r>
      <w:proofErr w:type="spellEnd"/>
      <w:r w:rsidRPr="00FE6772">
        <w:rPr>
          <w:sz w:val="26"/>
          <w:szCs w:val="26"/>
        </w:rPr>
        <w:t xml:space="preserve"> - расходы на оплату аренды помещений;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связь</w:t>
      </w:r>
      <w:proofErr w:type="spellEnd"/>
      <w:r w:rsidRPr="00FE6772">
        <w:rPr>
          <w:sz w:val="26"/>
          <w:szCs w:val="26"/>
        </w:rPr>
        <w:t xml:space="preserve"> - расходы на оплату услуг связи;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трансп</w:t>
      </w:r>
      <w:proofErr w:type="spellEnd"/>
      <w:r w:rsidRPr="00FE6772">
        <w:rPr>
          <w:sz w:val="26"/>
          <w:szCs w:val="26"/>
        </w:rPr>
        <w:t xml:space="preserve"> - расходы на оплату транспортных услуг;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расх</w:t>
      </w:r>
      <w:proofErr w:type="spellEnd"/>
      <w:r w:rsidRPr="00FE6772">
        <w:rPr>
          <w:sz w:val="26"/>
          <w:szCs w:val="26"/>
        </w:rPr>
        <w:t xml:space="preserve"> - командировочные расходы;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ком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усл</w:t>
      </w:r>
      <w:proofErr w:type="spellEnd"/>
      <w:r w:rsidRPr="00FE6772">
        <w:rPr>
          <w:sz w:val="26"/>
          <w:szCs w:val="26"/>
        </w:rPr>
        <w:t xml:space="preserve"> - расходы на оплату коммунальных услуг;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S</w:t>
      </w:r>
      <w:proofErr w:type="gramEnd"/>
      <w:r w:rsidRPr="00FE6772">
        <w:rPr>
          <w:sz w:val="26"/>
          <w:szCs w:val="26"/>
        </w:rPr>
        <w:t>мат</w:t>
      </w:r>
      <w:proofErr w:type="spellEnd"/>
      <w:r w:rsidRPr="00FE6772">
        <w:rPr>
          <w:sz w:val="26"/>
          <w:szCs w:val="26"/>
        </w:rPr>
        <w:t xml:space="preserve">. </w:t>
      </w:r>
      <w:proofErr w:type="spellStart"/>
      <w:r w:rsidRPr="00FE6772">
        <w:rPr>
          <w:sz w:val="26"/>
          <w:szCs w:val="26"/>
        </w:rPr>
        <w:t>обесп</w:t>
      </w:r>
      <w:proofErr w:type="spellEnd"/>
      <w:r w:rsidRPr="00FE6772">
        <w:rPr>
          <w:sz w:val="26"/>
          <w:szCs w:val="26"/>
        </w:rPr>
        <w:t xml:space="preserve"> - расходы на обеспечение мебелью, инвентарем, оргтехникой, средствами связи, расходными материалами.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Определение норматива затрат на содержание одного военно-учетного работника органа местного самоуправления муниципального округа и городского округа осуществляется на основании исходных данных федерального органа исполнительной власти, осуществляющего функции по выработке и реализации государственной политики, нормативно-правовому регулированию в области обороны, используемых при расчете распределения субвенций;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 w:rsidRPr="00FE6772">
        <w:rPr>
          <w:sz w:val="26"/>
          <w:szCs w:val="26"/>
        </w:rPr>
        <w:t>2) определяется количество освобожденных военно-учетных работников (</w:t>
      </w:r>
      <w:proofErr w:type="spellStart"/>
      <w:r w:rsidRPr="00FE6772">
        <w:rPr>
          <w:sz w:val="26"/>
          <w:szCs w:val="26"/>
        </w:rPr>
        <w:t>Nосвобi</w:t>
      </w:r>
      <w:proofErr w:type="spellEnd"/>
      <w:r w:rsidRPr="00FE6772">
        <w:rPr>
          <w:sz w:val="26"/>
          <w:szCs w:val="26"/>
        </w:rPr>
        <w:t>)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и работников, осуществляющих работу по первичному воинскому учету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по совместительству (</w:t>
      </w:r>
      <w:proofErr w:type="spellStart"/>
      <w:r w:rsidRPr="00FE6772">
        <w:rPr>
          <w:sz w:val="26"/>
          <w:szCs w:val="26"/>
        </w:rPr>
        <w:t>Nсовмi</w:t>
      </w:r>
      <w:proofErr w:type="spellEnd"/>
      <w:r w:rsidRPr="00FE6772">
        <w:rPr>
          <w:sz w:val="26"/>
          <w:szCs w:val="26"/>
        </w:rPr>
        <w:t>), на основании сведений, поступивших из Федерального казенного учреждения "Военный комиссариат Чувашской Республики", с учетом норм определения числа работников, осуществляющих воинский учет в</w:t>
      </w:r>
      <w:proofErr w:type="gramEnd"/>
      <w:r w:rsidRPr="00FE6772">
        <w:rPr>
          <w:sz w:val="26"/>
          <w:szCs w:val="26"/>
        </w:rPr>
        <w:t xml:space="preserve"> </w:t>
      </w:r>
      <w:proofErr w:type="gramStart"/>
      <w:r w:rsidRPr="00FE6772">
        <w:rPr>
          <w:sz w:val="26"/>
          <w:szCs w:val="26"/>
        </w:rPr>
        <w:t>органах</w:t>
      </w:r>
      <w:proofErr w:type="gramEnd"/>
      <w:r w:rsidRPr="00FE6772">
        <w:rPr>
          <w:sz w:val="26"/>
          <w:szCs w:val="26"/>
        </w:rPr>
        <w:t xml:space="preserve"> местного самоуправления, установленных Правительством Российской Федерации;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3) определяется размер субвенции, предоставляемой бюджету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(</w:t>
      </w:r>
      <w:proofErr w:type="spellStart"/>
      <w:proofErr w:type="gramStart"/>
      <w:r w:rsidRPr="00FE6772">
        <w:rPr>
          <w:sz w:val="26"/>
          <w:szCs w:val="26"/>
        </w:rPr>
        <w:t>V</w:t>
      </w:r>
      <w:proofErr w:type="gramEnd"/>
      <w:r w:rsidRPr="00FE6772">
        <w:rPr>
          <w:sz w:val="26"/>
          <w:szCs w:val="26"/>
        </w:rPr>
        <w:t>субi</w:t>
      </w:r>
      <w:proofErr w:type="spellEnd"/>
      <w:r w:rsidRPr="00FE6772">
        <w:rPr>
          <w:sz w:val="26"/>
          <w:szCs w:val="26"/>
        </w:rPr>
        <w:t>),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V</w:t>
      </w:r>
      <w:proofErr w:type="gramEnd"/>
      <w:r w:rsidRPr="00FE6772">
        <w:rPr>
          <w:sz w:val="26"/>
          <w:szCs w:val="26"/>
        </w:rPr>
        <w:t>субi</w:t>
      </w:r>
      <w:proofErr w:type="spellEnd"/>
      <w:r w:rsidRPr="00FE6772">
        <w:rPr>
          <w:sz w:val="26"/>
          <w:szCs w:val="26"/>
        </w:rPr>
        <w:t xml:space="preserve"> = (</w:t>
      </w:r>
      <w:proofErr w:type="spellStart"/>
      <w:r w:rsidRPr="00FE6772">
        <w:rPr>
          <w:sz w:val="26"/>
          <w:szCs w:val="26"/>
        </w:rPr>
        <w:t>Nосвобi</w:t>
      </w:r>
      <w:proofErr w:type="spellEnd"/>
      <w:r w:rsidRPr="00FE6772">
        <w:rPr>
          <w:sz w:val="26"/>
          <w:szCs w:val="26"/>
        </w:rPr>
        <w:t xml:space="preserve"> + </w:t>
      </w:r>
      <w:proofErr w:type="spellStart"/>
      <w:r w:rsidRPr="00FE6772">
        <w:rPr>
          <w:sz w:val="26"/>
          <w:szCs w:val="26"/>
        </w:rPr>
        <w:t>Nсовмi</w:t>
      </w:r>
      <w:proofErr w:type="spellEnd"/>
      <w:r w:rsidRPr="00FE6772">
        <w:rPr>
          <w:sz w:val="26"/>
          <w:szCs w:val="26"/>
        </w:rPr>
        <w:t xml:space="preserve"> x </w:t>
      </w:r>
      <w:proofErr w:type="spellStart"/>
      <w:r w:rsidRPr="00FE6772">
        <w:rPr>
          <w:sz w:val="26"/>
          <w:szCs w:val="26"/>
        </w:rPr>
        <w:t>ki</w:t>
      </w:r>
      <w:proofErr w:type="spellEnd"/>
      <w:r w:rsidRPr="00FE6772">
        <w:rPr>
          <w:sz w:val="26"/>
          <w:szCs w:val="26"/>
        </w:rPr>
        <w:t xml:space="preserve">) x </w:t>
      </w: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>, где: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N</w:t>
      </w:r>
      <w:proofErr w:type="gramEnd"/>
      <w:r w:rsidRPr="00FE6772">
        <w:rPr>
          <w:sz w:val="26"/>
          <w:szCs w:val="26"/>
        </w:rPr>
        <w:t>освобi</w:t>
      </w:r>
      <w:proofErr w:type="spellEnd"/>
      <w:r w:rsidRPr="00FE6772">
        <w:rPr>
          <w:sz w:val="26"/>
          <w:szCs w:val="26"/>
        </w:rPr>
        <w:t xml:space="preserve"> - количество освобожденных военно-учетных работников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N</w:t>
      </w:r>
      <w:proofErr w:type="gramEnd"/>
      <w:r w:rsidRPr="00FE6772">
        <w:rPr>
          <w:sz w:val="26"/>
          <w:szCs w:val="26"/>
        </w:rPr>
        <w:t>совмi</w:t>
      </w:r>
      <w:proofErr w:type="spellEnd"/>
      <w:r w:rsidRPr="00FE6772">
        <w:rPr>
          <w:sz w:val="26"/>
          <w:szCs w:val="26"/>
        </w:rPr>
        <w:t xml:space="preserve"> - количество работников, осуществляющих работу по первичному воинскому учету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 по совместительству;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Si</w:t>
      </w:r>
      <w:proofErr w:type="spellEnd"/>
      <w:r w:rsidRPr="00FE6772">
        <w:rPr>
          <w:sz w:val="26"/>
          <w:szCs w:val="26"/>
        </w:rPr>
        <w:t xml:space="preserve"> - затраты на содержание одного военно-учетного работника органа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ki</w:t>
      </w:r>
      <w:proofErr w:type="spellEnd"/>
      <w:r w:rsidRPr="00FE6772">
        <w:rPr>
          <w:sz w:val="26"/>
          <w:szCs w:val="26"/>
        </w:rPr>
        <w:t xml:space="preserve"> - коэффициент рабочего времени работника, осуществляющего работу по первичному воинскому учету в органе местного самоуправления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округа, который определяется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r w:rsidRPr="00FE6772">
        <w:rPr>
          <w:sz w:val="26"/>
          <w:szCs w:val="26"/>
        </w:rPr>
        <w:t>ki</w:t>
      </w:r>
      <w:proofErr w:type="spellEnd"/>
      <w:r w:rsidRPr="00FE6772">
        <w:rPr>
          <w:sz w:val="26"/>
          <w:szCs w:val="26"/>
        </w:rPr>
        <w:t xml:space="preserve"> = </w:t>
      </w:r>
      <w:proofErr w:type="spellStart"/>
      <w:proofErr w:type="gramStart"/>
      <w:r w:rsidRPr="00FE6772">
        <w:rPr>
          <w:sz w:val="26"/>
          <w:szCs w:val="26"/>
        </w:rPr>
        <w:t>t</w:t>
      </w:r>
      <w:proofErr w:type="gramEnd"/>
      <w:r w:rsidRPr="00FE6772">
        <w:rPr>
          <w:sz w:val="26"/>
          <w:szCs w:val="26"/>
        </w:rPr>
        <w:t>совмi</w:t>
      </w:r>
      <w:proofErr w:type="spellEnd"/>
      <w:r w:rsidRPr="00FE6772">
        <w:rPr>
          <w:sz w:val="26"/>
          <w:szCs w:val="26"/>
        </w:rPr>
        <w:t xml:space="preserve"> / </w:t>
      </w:r>
      <w:proofErr w:type="spellStart"/>
      <w:r w:rsidRPr="00FE6772">
        <w:rPr>
          <w:sz w:val="26"/>
          <w:szCs w:val="26"/>
        </w:rPr>
        <w:t>tосвоб</w:t>
      </w:r>
      <w:proofErr w:type="spellEnd"/>
      <w:r w:rsidRPr="00FE6772">
        <w:rPr>
          <w:sz w:val="26"/>
          <w:szCs w:val="26"/>
        </w:rPr>
        <w:t>, где: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t</w:t>
      </w:r>
      <w:proofErr w:type="gramEnd"/>
      <w:r w:rsidRPr="00FE6772">
        <w:rPr>
          <w:sz w:val="26"/>
          <w:szCs w:val="26"/>
        </w:rPr>
        <w:t>совмi</w:t>
      </w:r>
      <w:proofErr w:type="spellEnd"/>
      <w:r w:rsidRPr="00FE6772">
        <w:rPr>
          <w:sz w:val="26"/>
          <w:szCs w:val="26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муниципального округа и городского округа по совместительству (не более 792 часов в год);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t</w:t>
      </w:r>
      <w:proofErr w:type="gramEnd"/>
      <w:r w:rsidRPr="00FE6772">
        <w:rPr>
          <w:sz w:val="26"/>
          <w:szCs w:val="26"/>
        </w:rPr>
        <w:t>освоб</w:t>
      </w:r>
      <w:proofErr w:type="spellEnd"/>
      <w:r w:rsidRPr="00FE6772">
        <w:rPr>
          <w:sz w:val="26"/>
          <w:szCs w:val="26"/>
        </w:rPr>
        <w:t xml:space="preserve"> - норматив рабочего времени в году, который составляет 1980 часов (произведение 247,5 рабочего дня в году и 8 рабочих часов в день).</w:t>
      </w:r>
    </w:p>
    <w:p w:rsidR="00FE6772" w:rsidRPr="00FE6772" w:rsidRDefault="006C693B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 Общий размер субвенций (V</w:t>
      </w:r>
      <w:r>
        <w:rPr>
          <w:sz w:val="26"/>
          <w:szCs w:val="26"/>
          <w:lang w:val="en-US"/>
        </w:rPr>
        <w:t>S</w:t>
      </w:r>
      <w:r>
        <w:rPr>
          <w:sz w:val="26"/>
          <w:szCs w:val="26"/>
        </w:rPr>
        <w:t>U</w:t>
      </w:r>
      <w:r>
        <w:rPr>
          <w:sz w:val="26"/>
          <w:szCs w:val="26"/>
          <w:lang w:val="en-US"/>
        </w:rPr>
        <w:t>M</w:t>
      </w:r>
      <w:proofErr w:type="spellStart"/>
      <w:proofErr w:type="gramStart"/>
      <w:r w:rsidR="00FE6772" w:rsidRPr="00FE6772">
        <w:rPr>
          <w:sz w:val="26"/>
          <w:szCs w:val="26"/>
        </w:rPr>
        <w:t>суб</w:t>
      </w:r>
      <w:proofErr w:type="spellEnd"/>
      <w:proofErr w:type="gramEnd"/>
      <w:r w:rsidR="00FE6772" w:rsidRPr="00FE6772">
        <w:rPr>
          <w:sz w:val="26"/>
          <w:szCs w:val="26"/>
        </w:rPr>
        <w:t xml:space="preserve">), распределяемых бюджетам муниципальных округов и городских округов, рассчитывается путем </w:t>
      </w:r>
      <w:r w:rsidR="00FE6772" w:rsidRPr="00FE6772">
        <w:rPr>
          <w:sz w:val="26"/>
          <w:szCs w:val="26"/>
        </w:rPr>
        <w:lastRenderedPageBreak/>
        <w:t>суммирования размеров субвенций, исчисленных для каждого i-</w:t>
      </w:r>
      <w:proofErr w:type="spellStart"/>
      <w:r w:rsidR="00FE6772" w:rsidRPr="00FE6772">
        <w:rPr>
          <w:sz w:val="26"/>
          <w:szCs w:val="26"/>
        </w:rPr>
        <w:t>го</w:t>
      </w:r>
      <w:proofErr w:type="spellEnd"/>
      <w:r w:rsidR="00FE6772" w:rsidRPr="00FE6772">
        <w:rPr>
          <w:sz w:val="26"/>
          <w:szCs w:val="26"/>
        </w:rPr>
        <w:t xml:space="preserve"> муниципального округа и городского округа, по формуле: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noProof/>
          <w:sz w:val="26"/>
          <w:szCs w:val="26"/>
        </w:rPr>
        <w:drawing>
          <wp:inline distT="0" distB="0" distL="0" distR="0" wp14:anchorId="528544D5" wp14:editId="5DAE7F83">
            <wp:extent cx="3657600" cy="466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n - количество муниципальных округов и городских округов, имеющих территории, где полномочия Российской Федерации по первичному воинскому учету осуществляются органами местного самоуправления;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spellStart"/>
      <w:proofErr w:type="gramStart"/>
      <w:r w:rsidRPr="00FE6772">
        <w:rPr>
          <w:sz w:val="26"/>
          <w:szCs w:val="26"/>
        </w:rPr>
        <w:t>V</w:t>
      </w:r>
      <w:proofErr w:type="gramEnd"/>
      <w:r w:rsidRPr="00FE6772">
        <w:rPr>
          <w:sz w:val="26"/>
          <w:szCs w:val="26"/>
        </w:rPr>
        <w:t>субi</w:t>
      </w:r>
      <w:proofErr w:type="spellEnd"/>
      <w:r w:rsidRPr="00FE6772">
        <w:rPr>
          <w:sz w:val="26"/>
          <w:szCs w:val="26"/>
        </w:rPr>
        <w:t xml:space="preserve"> - размер субвенции, исчисленный бюджету i-</w:t>
      </w:r>
      <w:proofErr w:type="spellStart"/>
      <w:r w:rsidRPr="00FE6772">
        <w:rPr>
          <w:sz w:val="26"/>
          <w:szCs w:val="26"/>
        </w:rPr>
        <w:t>го</w:t>
      </w:r>
      <w:proofErr w:type="spellEnd"/>
      <w:r w:rsidRPr="00FE6772">
        <w:rPr>
          <w:sz w:val="26"/>
          <w:szCs w:val="26"/>
        </w:rPr>
        <w:t xml:space="preserve"> муниципального округа и городского округа;</w:t>
      </w:r>
    </w:p>
    <w:p w:rsidR="00FE6772" w:rsidRPr="00FE6772" w:rsidRDefault="00FE6772" w:rsidP="00FE677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FE6772">
        <w:rPr>
          <w:sz w:val="26"/>
          <w:szCs w:val="26"/>
        </w:rPr>
        <w:t>i - муниципальный округ и городской округ.</w:t>
      </w: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bookmarkEnd w:id="0"/>
    <w:bookmarkEnd w:id="3"/>
    <w:p w:rsidR="00FE6772" w:rsidRDefault="00FE6772" w:rsidP="00D8625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sectPr w:rsidR="00FE6772" w:rsidSect="000F51A8">
      <w:headerReference w:type="even" r:id="rId8"/>
      <w:headerReference w:type="default" r:id="rId9"/>
      <w:headerReference w:type="first" r:id="rId10"/>
      <w:pgSz w:w="11906" w:h="16838"/>
      <w:pgMar w:top="1134" w:right="851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846" w:rsidRDefault="001E75AE">
      <w:r>
        <w:separator/>
      </w:r>
    </w:p>
  </w:endnote>
  <w:endnote w:type="continuationSeparator" w:id="0">
    <w:p w:rsidR="00661846" w:rsidRDefault="001E7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846" w:rsidRDefault="001E75AE">
      <w:r>
        <w:separator/>
      </w:r>
    </w:p>
  </w:footnote>
  <w:footnote w:type="continuationSeparator" w:id="0">
    <w:p w:rsidR="00661846" w:rsidRDefault="001E7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52" w:rsidRDefault="00D862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4552" w:rsidRDefault="00432EC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552" w:rsidRDefault="00D8625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2ECD">
      <w:rPr>
        <w:rStyle w:val="a6"/>
        <w:noProof/>
      </w:rPr>
      <w:t>2</w:t>
    </w:r>
    <w:r>
      <w:rPr>
        <w:rStyle w:val="a6"/>
      </w:rPr>
      <w:fldChar w:fldCharType="end"/>
    </w:r>
  </w:p>
  <w:p w:rsidR="009D4552" w:rsidRDefault="00432E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A1" w:rsidRDefault="00432ECD">
    <w:pPr>
      <w:pStyle w:val="a4"/>
      <w:jc w:val="center"/>
    </w:pPr>
  </w:p>
  <w:p w:rsidR="00050CA1" w:rsidRDefault="00432EC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5E"/>
    <w:rsid w:val="00015699"/>
    <w:rsid w:val="00107FFE"/>
    <w:rsid w:val="001A7089"/>
    <w:rsid w:val="001E75AE"/>
    <w:rsid w:val="002008D4"/>
    <w:rsid w:val="002C1327"/>
    <w:rsid w:val="002D2E91"/>
    <w:rsid w:val="00432ECD"/>
    <w:rsid w:val="005D2ECF"/>
    <w:rsid w:val="0060048B"/>
    <w:rsid w:val="00661846"/>
    <w:rsid w:val="006C693B"/>
    <w:rsid w:val="007B7E50"/>
    <w:rsid w:val="008130DF"/>
    <w:rsid w:val="008159C7"/>
    <w:rsid w:val="00832B17"/>
    <w:rsid w:val="00844D31"/>
    <w:rsid w:val="008528C2"/>
    <w:rsid w:val="00991A00"/>
    <w:rsid w:val="009C5C9D"/>
    <w:rsid w:val="00B842DC"/>
    <w:rsid w:val="00C633AD"/>
    <w:rsid w:val="00CA56B5"/>
    <w:rsid w:val="00D105C4"/>
    <w:rsid w:val="00D8625E"/>
    <w:rsid w:val="00FE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625E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D8625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D862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6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semiHidden/>
    <w:rsid w:val="00D8625E"/>
  </w:style>
  <w:style w:type="character" w:styleId="a7">
    <w:name w:val="Hyperlink"/>
    <w:uiPriority w:val="99"/>
    <w:unhideWhenUsed/>
    <w:rsid w:val="00D8625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D2ECF"/>
    <w:pPr>
      <w:ind w:left="720"/>
      <w:contextualSpacing/>
    </w:pPr>
  </w:style>
  <w:style w:type="paragraph" w:customStyle="1" w:styleId="ConsPlusNormal">
    <w:name w:val="ConsPlusNormal"/>
    <w:rsid w:val="00FE6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E67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77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8625E"/>
    <w:pPr>
      <w:keepNext/>
      <w:ind w:firstLine="709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2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Заголовок статьи"/>
    <w:basedOn w:val="a"/>
    <w:next w:val="a"/>
    <w:uiPriority w:val="99"/>
    <w:rsid w:val="00D8625E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D862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6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semiHidden/>
    <w:rsid w:val="00D8625E"/>
  </w:style>
  <w:style w:type="character" w:styleId="a7">
    <w:name w:val="Hyperlink"/>
    <w:uiPriority w:val="99"/>
    <w:unhideWhenUsed/>
    <w:rsid w:val="00D8625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D2ECF"/>
    <w:pPr>
      <w:ind w:left="720"/>
      <w:contextualSpacing/>
    </w:pPr>
  </w:style>
  <w:style w:type="paragraph" w:customStyle="1" w:styleId="ConsPlusNormal">
    <w:name w:val="ConsPlusNormal"/>
    <w:rsid w:val="00FE67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E67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677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858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Заволжская Лариса Витальевна</dc:creator>
  <cp:lastModifiedBy>Наталия Лисова</cp:lastModifiedBy>
  <cp:revision>21</cp:revision>
  <cp:lastPrinted>2024-10-01T06:10:00Z</cp:lastPrinted>
  <dcterms:created xsi:type="dcterms:W3CDTF">2019-09-05T10:57:00Z</dcterms:created>
  <dcterms:modified xsi:type="dcterms:W3CDTF">2024-10-11T10:58:00Z</dcterms:modified>
</cp:coreProperties>
</file>